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B51" w:rsidRPr="004114E4" w:rsidRDefault="005B0DD9" w:rsidP="005B0DD9">
      <w:pPr>
        <w:jc w:val="center"/>
        <w:rPr>
          <w:b/>
          <w:sz w:val="32"/>
          <w:szCs w:val="32"/>
          <w:u w:val="single"/>
        </w:rPr>
      </w:pPr>
      <w:r w:rsidRPr="004114E4">
        <w:rPr>
          <w:b/>
          <w:sz w:val="32"/>
          <w:szCs w:val="32"/>
          <w:u w:val="single"/>
        </w:rPr>
        <w:t>Strategic Issue Projects</w:t>
      </w:r>
    </w:p>
    <w:p w:rsidR="005B0DD9" w:rsidRDefault="005B0DD9"/>
    <w:p w:rsidR="005B0DD9" w:rsidRDefault="005B0DD9" w:rsidP="00B82114">
      <w:pPr>
        <w:spacing w:after="0"/>
      </w:pPr>
      <w:r>
        <w:t xml:space="preserve">1.  </w:t>
      </w:r>
      <w:r w:rsidRPr="00A56396">
        <w:rPr>
          <w:b/>
        </w:rPr>
        <w:t>Denso</w:t>
      </w:r>
      <w:r>
        <w:t xml:space="preserve"> - Francisco Vega</w:t>
      </w:r>
    </w:p>
    <w:p w:rsidR="00B82114" w:rsidRDefault="00B82114" w:rsidP="00B82114">
      <w:pPr>
        <w:spacing w:after="0"/>
      </w:pPr>
    </w:p>
    <w:p w:rsidR="00B82114" w:rsidRDefault="005B0DD9" w:rsidP="00B82114">
      <w:pPr>
        <w:spacing w:after="0"/>
      </w:pPr>
      <w:r>
        <w:t xml:space="preserve">2.  </w:t>
      </w:r>
      <w:r w:rsidRPr="00A56396">
        <w:rPr>
          <w:b/>
        </w:rPr>
        <w:t>CPA Firm</w:t>
      </w:r>
      <w:r>
        <w:t xml:space="preserve"> – Sal</w:t>
      </w:r>
      <w:r w:rsidR="00A56396">
        <w:t xml:space="preserve">vatore </w:t>
      </w:r>
      <w:proofErr w:type="spellStart"/>
      <w:r>
        <w:t>Cur</w:t>
      </w:r>
      <w:r w:rsidR="00A56396">
        <w:t>curu</w:t>
      </w:r>
      <w:proofErr w:type="spellEnd"/>
    </w:p>
    <w:p w:rsidR="00B82114" w:rsidRDefault="00B82114" w:rsidP="00B82114">
      <w:pPr>
        <w:spacing w:after="0"/>
      </w:pPr>
      <w:r>
        <w:rPr>
          <w:rFonts w:ascii="Trebuchet MS" w:hAnsi="Trebuchet MS" w:cs="Arial"/>
        </w:rPr>
        <w:t>S</w:t>
      </w:r>
      <w:r w:rsidRPr="007E7F2E">
        <w:rPr>
          <w:rFonts w:ascii="Trebuchet MS" w:hAnsi="Trebuchet MS" w:cs="Arial"/>
        </w:rPr>
        <w:t xml:space="preserve">hould </w:t>
      </w:r>
      <w:r>
        <w:rPr>
          <w:rFonts w:ascii="Trebuchet MS" w:hAnsi="Trebuchet MS" w:cs="Arial"/>
        </w:rPr>
        <w:t xml:space="preserve">we </w:t>
      </w:r>
      <w:r w:rsidRPr="007E7F2E">
        <w:rPr>
          <w:rFonts w:ascii="Trebuchet MS" w:hAnsi="Trebuchet MS" w:cs="Arial"/>
        </w:rPr>
        <w:t>adopt a niche market in the medical services field</w:t>
      </w:r>
      <w:r>
        <w:rPr>
          <w:rFonts w:ascii="Trebuchet MS" w:hAnsi="Trebuchet MS" w:cs="Arial"/>
        </w:rPr>
        <w:t xml:space="preserve">?  </w:t>
      </w:r>
      <w:r w:rsidRPr="007E7F2E">
        <w:rPr>
          <w:rFonts w:ascii="Trebuchet MS" w:hAnsi="Trebuchet MS" w:cs="Arial"/>
        </w:rPr>
        <w:t xml:space="preserve">This industry is highly regulated and presents an opportunity for CPA firms with specialized knowledge in the field that can help medical clients navigate through the complexity.  </w:t>
      </w:r>
    </w:p>
    <w:p w:rsidR="00B82114" w:rsidRDefault="00B82114" w:rsidP="00B82114">
      <w:pPr>
        <w:spacing w:after="0"/>
      </w:pPr>
    </w:p>
    <w:p w:rsidR="005B0DD9" w:rsidRDefault="005B0DD9" w:rsidP="00B82114">
      <w:pPr>
        <w:spacing w:after="0"/>
      </w:pPr>
      <w:r>
        <w:t xml:space="preserve">3.  </w:t>
      </w:r>
      <w:r w:rsidRPr="00A56396">
        <w:rPr>
          <w:b/>
        </w:rPr>
        <w:t xml:space="preserve">GM </w:t>
      </w:r>
      <w:r w:rsidR="00A56396">
        <w:rPr>
          <w:b/>
        </w:rPr>
        <w:t>(</w:t>
      </w:r>
      <w:r w:rsidRPr="00A56396">
        <w:rPr>
          <w:b/>
        </w:rPr>
        <w:t>Warranty Parts</w:t>
      </w:r>
      <w:proofErr w:type="gramStart"/>
      <w:r w:rsidR="00A56396">
        <w:rPr>
          <w:b/>
        </w:rPr>
        <w:t>)</w:t>
      </w:r>
      <w:r>
        <w:t xml:space="preserve">  -</w:t>
      </w:r>
      <w:proofErr w:type="gramEnd"/>
      <w:r>
        <w:t xml:space="preserve"> Patty </w:t>
      </w:r>
      <w:proofErr w:type="spellStart"/>
      <w:r>
        <w:t>McCown</w:t>
      </w:r>
      <w:proofErr w:type="spellEnd"/>
    </w:p>
    <w:p w:rsidR="00B82114" w:rsidRDefault="00B82114" w:rsidP="00B82114">
      <w:pPr>
        <w:spacing w:after="0"/>
      </w:pPr>
      <w:r>
        <w:t>How do we eliminate this unnecessary warranty cost?  Reduction of this cost could return the company to profitability.</w:t>
      </w:r>
    </w:p>
    <w:p w:rsidR="00B82114" w:rsidRDefault="00B82114" w:rsidP="00B82114">
      <w:pPr>
        <w:spacing w:after="0"/>
      </w:pPr>
    </w:p>
    <w:p w:rsidR="005B0DD9" w:rsidRDefault="005B0DD9" w:rsidP="00B82114">
      <w:pPr>
        <w:spacing w:after="0"/>
      </w:pPr>
      <w:r>
        <w:t xml:space="preserve">4.  </w:t>
      </w:r>
      <w:proofErr w:type="spellStart"/>
      <w:r w:rsidRPr="00A56396">
        <w:rPr>
          <w:b/>
        </w:rPr>
        <w:t>Borgwarner</w:t>
      </w:r>
      <w:proofErr w:type="spellEnd"/>
      <w:r>
        <w:t xml:space="preserve"> – Tony </w:t>
      </w:r>
      <w:proofErr w:type="spellStart"/>
      <w:r>
        <w:t>Bugamelli</w:t>
      </w:r>
      <w:proofErr w:type="spellEnd"/>
      <w:r>
        <w:t>, Wes Arnold</w:t>
      </w:r>
    </w:p>
    <w:p w:rsidR="00B82114" w:rsidRDefault="00B82114" w:rsidP="00B82114">
      <w:pPr>
        <w:spacing w:after="0"/>
      </w:pPr>
    </w:p>
    <w:p w:rsidR="005B0DD9" w:rsidRDefault="005B0DD9" w:rsidP="00B82114">
      <w:pPr>
        <w:spacing w:after="0"/>
      </w:pPr>
      <w:r>
        <w:t xml:space="preserve">5.  </w:t>
      </w:r>
      <w:r w:rsidRPr="00A56396">
        <w:rPr>
          <w:b/>
        </w:rPr>
        <w:t xml:space="preserve">Commercial General Contracting Company </w:t>
      </w:r>
      <w:r>
        <w:t xml:space="preserve">– Meghan </w:t>
      </w:r>
      <w:proofErr w:type="spellStart"/>
      <w:r w:rsidR="00A56396">
        <w:t>W</w:t>
      </w:r>
      <w:r>
        <w:t>ivo</w:t>
      </w:r>
      <w:proofErr w:type="spellEnd"/>
      <w:proofErr w:type="gramStart"/>
      <w:r>
        <w:t>,  Jason</w:t>
      </w:r>
      <w:proofErr w:type="gramEnd"/>
      <w:r>
        <w:t xml:space="preserve"> </w:t>
      </w:r>
      <w:proofErr w:type="spellStart"/>
      <w:r>
        <w:t>Simcoke</w:t>
      </w:r>
      <w:proofErr w:type="spellEnd"/>
    </w:p>
    <w:p w:rsidR="00B82114" w:rsidRDefault="00B82114" w:rsidP="00B82114">
      <w:pPr>
        <w:spacing w:after="0"/>
        <w:rPr>
          <w:rFonts w:ascii="Trebuchet MS" w:hAnsi="Trebuchet MS" w:cs="Arial"/>
        </w:rPr>
      </w:pPr>
      <w:r w:rsidRPr="00D47C28">
        <w:rPr>
          <w:rFonts w:ascii="Trebuchet MS" w:hAnsi="Trebuchet MS" w:cs="Arial"/>
        </w:rPr>
        <w:t xml:space="preserve">A commercial general contracting company has operations in Michigan and in Florida and due to the current economy in Michigan they are considering moving all of their resources to Florida.  Some research has been done to determine the benefit of such a move but a solid decision has yet to be made.  </w:t>
      </w:r>
    </w:p>
    <w:p w:rsidR="00B82114" w:rsidRDefault="00B82114" w:rsidP="00B82114">
      <w:pPr>
        <w:spacing w:after="0"/>
      </w:pPr>
    </w:p>
    <w:p w:rsidR="00B82114" w:rsidRDefault="005B0DD9" w:rsidP="00B82114">
      <w:pPr>
        <w:spacing w:after="0"/>
      </w:pPr>
      <w:r>
        <w:t xml:space="preserve">6.  </w:t>
      </w:r>
      <w:r w:rsidRPr="00A56396">
        <w:rPr>
          <w:b/>
        </w:rPr>
        <w:t>Cosmo</w:t>
      </w:r>
      <w:r>
        <w:t xml:space="preserve"> – Kelly </w:t>
      </w:r>
      <w:proofErr w:type="spellStart"/>
      <w:r>
        <w:t>Keim</w:t>
      </w:r>
      <w:proofErr w:type="spellEnd"/>
      <w:r>
        <w:t xml:space="preserve">, Andrew </w:t>
      </w:r>
      <w:proofErr w:type="spellStart"/>
      <w:r>
        <w:t>DeWolfe</w:t>
      </w:r>
      <w:proofErr w:type="spellEnd"/>
    </w:p>
    <w:p w:rsidR="00B82114" w:rsidRDefault="00B82114" w:rsidP="00B82114">
      <w:pPr>
        <w:spacing w:after="0"/>
        <w:rPr>
          <w:rFonts w:ascii="Arial" w:hAnsi="Arial" w:cs="Arial"/>
          <w:sz w:val="19"/>
          <w:szCs w:val="19"/>
        </w:rPr>
      </w:pPr>
      <w:r>
        <w:t>C</w:t>
      </w:r>
      <w:r>
        <w:rPr>
          <w:rFonts w:ascii="Arial" w:hAnsi="Arial" w:cs="Arial"/>
          <w:sz w:val="20"/>
          <w:szCs w:val="20"/>
        </w:rPr>
        <w:t xml:space="preserve">osmo is a large Japanese conglomerate with five main business areas: Automotive, Foam, Housing and Construction Products, Fine Tech products such as small electronics, and </w:t>
      </w:r>
      <w:proofErr w:type="spellStart"/>
      <w:r>
        <w:rPr>
          <w:rFonts w:ascii="Arial" w:hAnsi="Arial" w:cs="Arial"/>
          <w:sz w:val="20"/>
          <w:szCs w:val="20"/>
        </w:rPr>
        <w:t>Elastomers</w:t>
      </w:r>
      <w:proofErr w:type="spellEnd"/>
      <w:r>
        <w:rPr>
          <w:rFonts w:ascii="Arial" w:hAnsi="Arial" w:cs="Arial"/>
          <w:sz w:val="20"/>
          <w:szCs w:val="20"/>
        </w:rPr>
        <w:t xml:space="preserve">. </w:t>
      </w:r>
      <w:proofErr w:type="gramStart"/>
      <w:r>
        <w:rPr>
          <w:rFonts w:ascii="Arial" w:hAnsi="Arial" w:cs="Arial"/>
          <w:sz w:val="20"/>
          <w:szCs w:val="20"/>
        </w:rPr>
        <w:t>what</w:t>
      </w:r>
      <w:proofErr w:type="gramEnd"/>
      <w:r>
        <w:rPr>
          <w:rFonts w:ascii="Arial" w:hAnsi="Arial" w:cs="Arial"/>
          <w:sz w:val="20"/>
          <w:szCs w:val="20"/>
        </w:rPr>
        <w:t xml:space="preserve"> would the best approach be for Cosmo to expand into North America?  Possible choices are for it to continue to grow its existing joint ventures in the automotive market, grow its wholly owned automotive subsidiary, Luna, to become a key player in the NA automotive market by utilizing the Japanese division’s existing technology and products, manufacture foam and rubber in NA instead of being only an importer, or maintain the current strategy which is to slowly grow all of the businesses.</w:t>
      </w:r>
    </w:p>
    <w:p w:rsidR="00B82114" w:rsidRDefault="00B82114" w:rsidP="00B82114">
      <w:pPr>
        <w:spacing w:after="0"/>
      </w:pPr>
    </w:p>
    <w:p w:rsidR="00B82114" w:rsidRDefault="005B0DD9" w:rsidP="00B82114">
      <w:pPr>
        <w:spacing w:after="0"/>
      </w:pPr>
      <w:r>
        <w:t xml:space="preserve">7.  </w:t>
      </w:r>
      <w:proofErr w:type="spellStart"/>
      <w:r w:rsidRPr="00A56396">
        <w:rPr>
          <w:b/>
        </w:rPr>
        <w:t>Medtronics</w:t>
      </w:r>
      <w:proofErr w:type="spellEnd"/>
      <w:r>
        <w:t xml:space="preserve"> – Andrew Stolen</w:t>
      </w:r>
    </w:p>
    <w:p w:rsidR="00B82114" w:rsidRDefault="00B82114" w:rsidP="00B82114">
      <w:pPr>
        <w:spacing w:after="0"/>
        <w:rPr>
          <w:rFonts w:ascii="Arial" w:hAnsi="Arial" w:cs="Arial"/>
          <w:sz w:val="19"/>
          <w:szCs w:val="19"/>
        </w:rPr>
      </w:pPr>
      <w:r>
        <w:rPr>
          <w:rFonts w:ascii="Arial" w:hAnsi="Arial" w:cs="Arial"/>
          <w:sz w:val="19"/>
          <w:szCs w:val="19"/>
        </w:rPr>
        <w:t xml:space="preserve">Is </w:t>
      </w:r>
      <w:proofErr w:type="spellStart"/>
      <w:r>
        <w:rPr>
          <w:rFonts w:ascii="Arial" w:hAnsi="Arial" w:cs="Arial"/>
          <w:sz w:val="19"/>
          <w:szCs w:val="19"/>
        </w:rPr>
        <w:t>intraoperative</w:t>
      </w:r>
      <w:proofErr w:type="spellEnd"/>
      <w:r>
        <w:rPr>
          <w:rFonts w:ascii="Arial" w:hAnsi="Arial" w:cs="Arial"/>
          <w:sz w:val="19"/>
          <w:szCs w:val="19"/>
        </w:rPr>
        <w:t xml:space="preserve"> imaging (i.e. bringing an MRI or CT-like machine into the operating room) for brain and </w:t>
      </w:r>
    </w:p>
    <w:p w:rsidR="00B82114" w:rsidRDefault="00B82114" w:rsidP="00B82114">
      <w:pPr>
        <w:spacing w:after="0"/>
        <w:rPr>
          <w:rFonts w:ascii="Arial" w:hAnsi="Arial" w:cs="Arial"/>
          <w:sz w:val="19"/>
          <w:szCs w:val="19"/>
        </w:rPr>
      </w:pPr>
      <w:proofErr w:type="gramStart"/>
      <w:r>
        <w:rPr>
          <w:rFonts w:ascii="Arial" w:hAnsi="Arial" w:cs="Arial"/>
          <w:sz w:val="19"/>
          <w:szCs w:val="19"/>
        </w:rPr>
        <w:t>spine</w:t>
      </w:r>
      <w:proofErr w:type="gramEnd"/>
      <w:r>
        <w:rPr>
          <w:rFonts w:ascii="Arial" w:hAnsi="Arial" w:cs="Arial"/>
          <w:sz w:val="19"/>
          <w:szCs w:val="19"/>
        </w:rPr>
        <w:t xml:space="preserve"> surgery a growth area, and as such should Medtronic Navigation be pursuing this as a core strategy?</w:t>
      </w:r>
    </w:p>
    <w:p w:rsidR="00B82114" w:rsidRDefault="00B82114" w:rsidP="00B82114">
      <w:pPr>
        <w:spacing w:after="0"/>
      </w:pPr>
    </w:p>
    <w:p w:rsidR="005B0DD9" w:rsidRDefault="008A59FF" w:rsidP="00B82114">
      <w:pPr>
        <w:spacing w:after="0"/>
      </w:pPr>
      <w:r>
        <w:t>8</w:t>
      </w:r>
      <w:r w:rsidR="005B0DD9">
        <w:t xml:space="preserve">.  </w:t>
      </w:r>
      <w:r w:rsidR="005B0DD9" w:rsidRPr="00A56396">
        <w:rPr>
          <w:b/>
        </w:rPr>
        <w:t xml:space="preserve">GM </w:t>
      </w:r>
      <w:r w:rsidR="00A56396">
        <w:rPr>
          <w:b/>
        </w:rPr>
        <w:t>(</w:t>
      </w:r>
      <w:r w:rsidR="005B0DD9" w:rsidRPr="00A56396">
        <w:rPr>
          <w:b/>
        </w:rPr>
        <w:t>Fuel Cells</w:t>
      </w:r>
      <w:r w:rsidR="00A56396">
        <w:rPr>
          <w:b/>
        </w:rPr>
        <w:t>)</w:t>
      </w:r>
      <w:r w:rsidR="005B0DD9">
        <w:t xml:space="preserve"> – Paul </w:t>
      </w:r>
      <w:proofErr w:type="spellStart"/>
      <w:r w:rsidR="005B0DD9">
        <w:t>Vavrick</w:t>
      </w:r>
      <w:proofErr w:type="spellEnd"/>
    </w:p>
    <w:p w:rsidR="00B82114" w:rsidRDefault="00B82114" w:rsidP="00B82114">
      <w:pPr>
        <w:spacing w:after="0"/>
      </w:pPr>
    </w:p>
    <w:p w:rsidR="00A56396" w:rsidRDefault="008A59FF" w:rsidP="00B82114">
      <w:pPr>
        <w:spacing w:after="0"/>
      </w:pPr>
      <w:r>
        <w:t>9</w:t>
      </w:r>
      <w:r w:rsidR="00A56396">
        <w:t xml:space="preserve">. </w:t>
      </w:r>
      <w:r w:rsidR="00A56396" w:rsidRPr="00A56396">
        <w:rPr>
          <w:b/>
        </w:rPr>
        <w:t>Comerica</w:t>
      </w:r>
      <w:r w:rsidR="00A56396">
        <w:t xml:space="preserve"> - Walter Galloway</w:t>
      </w:r>
    </w:p>
    <w:p w:rsidR="00B82114" w:rsidRDefault="00B82114" w:rsidP="00B82114">
      <w:pPr>
        <w:spacing w:after="0"/>
        <w:rPr>
          <w:rFonts w:ascii="Trebuchet MS" w:hAnsi="Trebuchet MS" w:cs="Arial"/>
        </w:rPr>
      </w:pPr>
      <w:r w:rsidRPr="00D47C28">
        <w:rPr>
          <w:rFonts w:ascii="Trebuchet MS" w:hAnsi="Trebuchet MS" w:cs="Arial"/>
        </w:rPr>
        <w:t xml:space="preserve">Is it feasible to migrate the functional support units to TX with the </w:t>
      </w:r>
      <w:proofErr w:type="gramStart"/>
      <w:r w:rsidRPr="00D47C28">
        <w:rPr>
          <w:rFonts w:ascii="Trebuchet MS" w:hAnsi="Trebuchet MS" w:cs="Arial"/>
        </w:rPr>
        <w:t>headquarters.</w:t>
      </w:r>
      <w:proofErr w:type="gramEnd"/>
    </w:p>
    <w:p w:rsidR="00B82114" w:rsidRPr="00D47C28" w:rsidRDefault="00B82114" w:rsidP="00B82114">
      <w:pPr>
        <w:spacing w:after="0"/>
        <w:rPr>
          <w:rFonts w:ascii="Trebuchet MS" w:hAnsi="Trebuchet MS" w:cs="Arial"/>
        </w:rPr>
      </w:pPr>
    </w:p>
    <w:p w:rsidR="00661631" w:rsidRDefault="00A56396" w:rsidP="00B82114">
      <w:pPr>
        <w:spacing w:after="0"/>
      </w:pPr>
      <w:r>
        <w:t>1</w:t>
      </w:r>
      <w:r w:rsidR="008A59FF">
        <w:t>0</w:t>
      </w:r>
      <w:r>
        <w:t xml:space="preserve">. </w:t>
      </w:r>
      <w:r w:rsidRPr="00A56396">
        <w:rPr>
          <w:b/>
        </w:rPr>
        <w:t>Pacific Gas and Electric</w:t>
      </w:r>
      <w:r>
        <w:t xml:space="preserve"> – Sean Broadbent</w:t>
      </w:r>
      <w:r w:rsidR="00BE4753">
        <w:t xml:space="preserve">, Scott </w:t>
      </w:r>
      <w:proofErr w:type="spellStart"/>
      <w:r w:rsidR="00BE4753">
        <w:t>Symanski</w:t>
      </w:r>
      <w:proofErr w:type="spellEnd"/>
      <w:r w:rsidR="00BE4753">
        <w:t xml:space="preserve"> and David King</w:t>
      </w:r>
      <w:r w:rsidR="008A59FF">
        <w:t>, Greg Irish</w:t>
      </w:r>
    </w:p>
    <w:p w:rsidR="00B82114" w:rsidRDefault="00B82114" w:rsidP="00B82114">
      <w:pPr>
        <w:spacing w:after="0"/>
      </w:pPr>
      <w:r w:rsidRPr="00D47C28">
        <w:rPr>
          <w:rFonts w:ascii="Trebuchet MS" w:hAnsi="Trebuchet MS" w:cs="Arial"/>
        </w:rPr>
        <w:t>Pacific Gas &amp; Electric has recently agreed to purchase 553 megawatts of solar energy generated from a solar power plant in the Mojave Desert.</w:t>
      </w:r>
    </w:p>
    <w:p w:rsidR="00661631" w:rsidRPr="00661631" w:rsidRDefault="00661631" w:rsidP="00B82114">
      <w:pPr>
        <w:spacing w:after="0"/>
        <w:jc w:val="center"/>
        <w:rPr>
          <w:b/>
          <w:sz w:val="28"/>
          <w:szCs w:val="28"/>
        </w:rPr>
      </w:pPr>
      <w:r w:rsidRPr="00661631">
        <w:rPr>
          <w:b/>
          <w:sz w:val="28"/>
          <w:szCs w:val="28"/>
        </w:rPr>
        <w:lastRenderedPageBreak/>
        <w:t>Class Discussion Leaders (see page 3 of the syllabus under item 2a)</w:t>
      </w:r>
    </w:p>
    <w:tbl>
      <w:tblPr>
        <w:tblStyle w:val="TableGrid"/>
        <w:tblW w:w="0" w:type="auto"/>
        <w:tblLook w:val="04A0"/>
      </w:tblPr>
      <w:tblGrid>
        <w:gridCol w:w="3192"/>
        <w:gridCol w:w="3192"/>
        <w:gridCol w:w="3192"/>
      </w:tblGrid>
      <w:tr w:rsidR="00661631" w:rsidTr="00661631">
        <w:tc>
          <w:tcPr>
            <w:tcW w:w="3192" w:type="dxa"/>
          </w:tcPr>
          <w:p w:rsidR="00661631" w:rsidRPr="00661631" w:rsidRDefault="00661631" w:rsidP="00661631">
            <w:pPr>
              <w:jc w:val="center"/>
              <w:rPr>
                <w:b/>
              </w:rPr>
            </w:pPr>
            <w:r w:rsidRPr="00661631">
              <w:rPr>
                <w:b/>
              </w:rPr>
              <w:t>Class Session</w:t>
            </w:r>
          </w:p>
        </w:tc>
        <w:tc>
          <w:tcPr>
            <w:tcW w:w="3192" w:type="dxa"/>
          </w:tcPr>
          <w:p w:rsidR="00661631" w:rsidRPr="00661631" w:rsidRDefault="00661631" w:rsidP="00661631">
            <w:pPr>
              <w:jc w:val="center"/>
              <w:rPr>
                <w:b/>
              </w:rPr>
            </w:pPr>
            <w:r w:rsidRPr="00661631">
              <w:rPr>
                <w:b/>
              </w:rPr>
              <w:t>Topic</w:t>
            </w:r>
          </w:p>
        </w:tc>
        <w:tc>
          <w:tcPr>
            <w:tcW w:w="3192" w:type="dxa"/>
          </w:tcPr>
          <w:p w:rsidR="00661631" w:rsidRPr="00661631" w:rsidRDefault="00661631" w:rsidP="00661631">
            <w:pPr>
              <w:jc w:val="center"/>
              <w:rPr>
                <w:b/>
              </w:rPr>
            </w:pPr>
            <w:r w:rsidRPr="00661631">
              <w:rPr>
                <w:b/>
              </w:rPr>
              <w:t>Discussion Leaders</w:t>
            </w:r>
          </w:p>
        </w:tc>
      </w:tr>
      <w:tr w:rsidR="00661631" w:rsidTr="00661631">
        <w:tc>
          <w:tcPr>
            <w:tcW w:w="3192" w:type="dxa"/>
          </w:tcPr>
          <w:p w:rsidR="00661631" w:rsidRPr="004114E4" w:rsidRDefault="00661631" w:rsidP="004114E4">
            <w:pPr>
              <w:jc w:val="center"/>
              <w:rPr>
                <w:b/>
              </w:rPr>
            </w:pPr>
            <w:r w:rsidRPr="004114E4">
              <w:rPr>
                <w:b/>
              </w:rPr>
              <w:t>9/27</w:t>
            </w:r>
          </w:p>
        </w:tc>
        <w:tc>
          <w:tcPr>
            <w:tcW w:w="3192" w:type="dxa"/>
          </w:tcPr>
          <w:p w:rsidR="00661631" w:rsidRDefault="00661631">
            <w:r>
              <w:t>Business Level Strategy</w:t>
            </w:r>
          </w:p>
          <w:p w:rsidR="00661631" w:rsidRDefault="00661631">
            <w:r>
              <w:t>Firm Resources and Value Creation</w:t>
            </w:r>
          </w:p>
        </w:tc>
        <w:tc>
          <w:tcPr>
            <w:tcW w:w="3192" w:type="dxa"/>
          </w:tcPr>
          <w:p w:rsidR="004114E4" w:rsidRDefault="00661631" w:rsidP="004114E4">
            <w:r>
              <w:t xml:space="preserve"> </w:t>
            </w:r>
            <w:r w:rsidR="004114E4">
              <w:t xml:space="preserve">Meghan </w:t>
            </w:r>
            <w:proofErr w:type="spellStart"/>
            <w:r w:rsidR="004114E4">
              <w:t>Wivo</w:t>
            </w:r>
            <w:proofErr w:type="spellEnd"/>
            <w:r w:rsidR="004114E4">
              <w:t xml:space="preserve">, Jason </w:t>
            </w:r>
            <w:proofErr w:type="spellStart"/>
            <w:r w:rsidR="004114E4">
              <w:t>Simcoke</w:t>
            </w:r>
            <w:proofErr w:type="spellEnd"/>
          </w:p>
        </w:tc>
      </w:tr>
      <w:tr w:rsidR="00661631" w:rsidTr="00661631">
        <w:tc>
          <w:tcPr>
            <w:tcW w:w="3192" w:type="dxa"/>
          </w:tcPr>
          <w:p w:rsidR="00661631" w:rsidRPr="004114E4" w:rsidRDefault="00661631" w:rsidP="004114E4">
            <w:pPr>
              <w:jc w:val="center"/>
              <w:rPr>
                <w:b/>
              </w:rPr>
            </w:pPr>
            <w:r w:rsidRPr="004114E4">
              <w:rPr>
                <w:b/>
              </w:rPr>
              <w:t>10/4</w:t>
            </w:r>
          </w:p>
        </w:tc>
        <w:tc>
          <w:tcPr>
            <w:tcW w:w="3192" w:type="dxa"/>
          </w:tcPr>
          <w:p w:rsidR="00661631" w:rsidRDefault="00661631">
            <w:r>
              <w:t>Business Level Strategy: Competitive Strategy</w:t>
            </w:r>
          </w:p>
        </w:tc>
        <w:tc>
          <w:tcPr>
            <w:tcW w:w="3192" w:type="dxa"/>
          </w:tcPr>
          <w:p w:rsidR="00661631" w:rsidRDefault="00661631">
            <w:r>
              <w:t xml:space="preserve">Patty </w:t>
            </w:r>
            <w:proofErr w:type="spellStart"/>
            <w:r>
              <w:t>McCown</w:t>
            </w:r>
            <w:proofErr w:type="spellEnd"/>
            <w:r>
              <w:t xml:space="preserve">, Kelly </w:t>
            </w:r>
            <w:proofErr w:type="spellStart"/>
            <w:r>
              <w:t>Keim</w:t>
            </w:r>
            <w:proofErr w:type="spellEnd"/>
            <w:r>
              <w:t xml:space="preserve"> </w:t>
            </w:r>
          </w:p>
          <w:p w:rsidR="00661631" w:rsidRDefault="00661631">
            <w:r>
              <w:t xml:space="preserve">Andrew </w:t>
            </w:r>
            <w:proofErr w:type="spellStart"/>
            <w:r>
              <w:t>DeWolfe</w:t>
            </w:r>
            <w:proofErr w:type="spellEnd"/>
          </w:p>
        </w:tc>
      </w:tr>
      <w:tr w:rsidR="00661631" w:rsidTr="00661631">
        <w:tc>
          <w:tcPr>
            <w:tcW w:w="3192" w:type="dxa"/>
          </w:tcPr>
          <w:p w:rsidR="00661631" w:rsidRPr="004114E4" w:rsidRDefault="00661631" w:rsidP="004114E4">
            <w:pPr>
              <w:jc w:val="center"/>
              <w:rPr>
                <w:b/>
              </w:rPr>
            </w:pPr>
            <w:r w:rsidRPr="004114E4">
              <w:rPr>
                <w:b/>
              </w:rPr>
              <w:t>10/11/07</w:t>
            </w:r>
          </w:p>
        </w:tc>
        <w:tc>
          <w:tcPr>
            <w:tcW w:w="3192" w:type="dxa"/>
          </w:tcPr>
          <w:p w:rsidR="00661631" w:rsidRDefault="00661631">
            <w:r>
              <w:t>Corporate Level Strategy</w:t>
            </w:r>
          </w:p>
        </w:tc>
        <w:tc>
          <w:tcPr>
            <w:tcW w:w="3192" w:type="dxa"/>
          </w:tcPr>
          <w:p w:rsidR="00661631" w:rsidRDefault="00661631" w:rsidP="00661631">
            <w:r>
              <w:t xml:space="preserve">Tony </w:t>
            </w:r>
            <w:proofErr w:type="spellStart"/>
            <w:r>
              <w:t>Bugamello</w:t>
            </w:r>
            <w:proofErr w:type="spellEnd"/>
            <w:r>
              <w:t>, Wes Arnold</w:t>
            </w:r>
          </w:p>
          <w:p w:rsidR="00661631" w:rsidRDefault="00661631" w:rsidP="00661631">
            <w:r>
              <w:t>Greg Irish</w:t>
            </w:r>
          </w:p>
        </w:tc>
      </w:tr>
      <w:tr w:rsidR="00661631" w:rsidTr="00661631">
        <w:tc>
          <w:tcPr>
            <w:tcW w:w="3192" w:type="dxa"/>
          </w:tcPr>
          <w:p w:rsidR="00661631" w:rsidRPr="004114E4" w:rsidRDefault="004114E4" w:rsidP="004114E4">
            <w:pPr>
              <w:jc w:val="center"/>
              <w:rPr>
                <w:b/>
              </w:rPr>
            </w:pPr>
            <w:r w:rsidRPr="004114E4">
              <w:rPr>
                <w:b/>
              </w:rPr>
              <w:t>10/25/07</w:t>
            </w:r>
          </w:p>
        </w:tc>
        <w:tc>
          <w:tcPr>
            <w:tcW w:w="3192" w:type="dxa"/>
          </w:tcPr>
          <w:p w:rsidR="00661631" w:rsidRDefault="004114E4">
            <w:r>
              <w:t>Measuring Performance</w:t>
            </w:r>
          </w:p>
        </w:tc>
        <w:tc>
          <w:tcPr>
            <w:tcW w:w="3192" w:type="dxa"/>
          </w:tcPr>
          <w:p w:rsidR="004114E4" w:rsidRDefault="004114E4" w:rsidP="004114E4">
            <w:r>
              <w:t xml:space="preserve">Salvatore </w:t>
            </w:r>
            <w:proofErr w:type="spellStart"/>
            <w:r>
              <w:t>Curcuru</w:t>
            </w:r>
            <w:proofErr w:type="spellEnd"/>
            <w:r>
              <w:t xml:space="preserve">,  Andrew Stolen, Paul </w:t>
            </w:r>
            <w:proofErr w:type="spellStart"/>
            <w:r>
              <w:t>Vavrick</w:t>
            </w:r>
            <w:proofErr w:type="spellEnd"/>
          </w:p>
        </w:tc>
      </w:tr>
      <w:tr w:rsidR="00661631" w:rsidTr="00661631">
        <w:tc>
          <w:tcPr>
            <w:tcW w:w="3192" w:type="dxa"/>
          </w:tcPr>
          <w:p w:rsidR="00661631" w:rsidRPr="004114E4" w:rsidRDefault="004114E4" w:rsidP="004114E4">
            <w:pPr>
              <w:jc w:val="center"/>
              <w:rPr>
                <w:b/>
              </w:rPr>
            </w:pPr>
            <w:r w:rsidRPr="004114E4">
              <w:rPr>
                <w:b/>
              </w:rPr>
              <w:t>11/1/07</w:t>
            </w:r>
          </w:p>
        </w:tc>
        <w:tc>
          <w:tcPr>
            <w:tcW w:w="3192" w:type="dxa"/>
          </w:tcPr>
          <w:p w:rsidR="00661631" w:rsidRDefault="004114E4">
            <w:r>
              <w:t>Global Strategy</w:t>
            </w:r>
          </w:p>
        </w:tc>
        <w:tc>
          <w:tcPr>
            <w:tcW w:w="3192" w:type="dxa"/>
          </w:tcPr>
          <w:p w:rsidR="00661631" w:rsidRDefault="004114E4">
            <w:r>
              <w:t>Francisco Vega, Walter Galloway</w:t>
            </w:r>
          </w:p>
        </w:tc>
      </w:tr>
      <w:tr w:rsidR="00661631" w:rsidTr="00661631">
        <w:tc>
          <w:tcPr>
            <w:tcW w:w="3192" w:type="dxa"/>
          </w:tcPr>
          <w:p w:rsidR="00661631" w:rsidRPr="004114E4" w:rsidRDefault="004114E4" w:rsidP="004114E4">
            <w:pPr>
              <w:jc w:val="center"/>
              <w:rPr>
                <w:b/>
              </w:rPr>
            </w:pPr>
            <w:r w:rsidRPr="004114E4">
              <w:rPr>
                <w:b/>
              </w:rPr>
              <w:t>11/8/07</w:t>
            </w:r>
          </w:p>
        </w:tc>
        <w:tc>
          <w:tcPr>
            <w:tcW w:w="3192" w:type="dxa"/>
          </w:tcPr>
          <w:p w:rsidR="00661631" w:rsidRDefault="004114E4">
            <w:r>
              <w:t>Implementation</w:t>
            </w:r>
          </w:p>
        </w:tc>
        <w:tc>
          <w:tcPr>
            <w:tcW w:w="3192" w:type="dxa"/>
          </w:tcPr>
          <w:p w:rsidR="00661631" w:rsidRDefault="004114E4">
            <w:r>
              <w:t xml:space="preserve">Sean Broadbent, Scott </w:t>
            </w:r>
            <w:proofErr w:type="spellStart"/>
            <w:r>
              <w:t>Symanski</w:t>
            </w:r>
            <w:proofErr w:type="spellEnd"/>
            <w:r>
              <w:t>, David King</w:t>
            </w:r>
          </w:p>
        </w:tc>
      </w:tr>
    </w:tbl>
    <w:p w:rsidR="00661631" w:rsidRDefault="00661631"/>
    <w:p w:rsidR="00661631" w:rsidRDefault="00661631"/>
    <w:p w:rsidR="00661631" w:rsidRDefault="00661631"/>
    <w:sectPr w:rsidR="00661631" w:rsidSect="00562B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0DD9"/>
    <w:rsid w:val="000600B8"/>
    <w:rsid w:val="00086FF8"/>
    <w:rsid w:val="004114E4"/>
    <w:rsid w:val="004853E2"/>
    <w:rsid w:val="00562B51"/>
    <w:rsid w:val="005B0DD9"/>
    <w:rsid w:val="00661631"/>
    <w:rsid w:val="008A59FF"/>
    <w:rsid w:val="00A56396"/>
    <w:rsid w:val="00B82114"/>
    <w:rsid w:val="00BE4753"/>
    <w:rsid w:val="00C35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B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16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821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Oakland University</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miree</dc:creator>
  <cp:keywords/>
  <dc:description/>
  <cp:lastModifiedBy>miree</cp:lastModifiedBy>
  <cp:revision>6</cp:revision>
  <dcterms:created xsi:type="dcterms:W3CDTF">2007-09-14T01:32:00Z</dcterms:created>
  <dcterms:modified xsi:type="dcterms:W3CDTF">2007-09-18T17:04:00Z</dcterms:modified>
</cp:coreProperties>
</file>